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CC4F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1 января 2024 года стартует областной конкурс социальных достижений «Меняющие мир».</w:t>
      </w:r>
    </w:p>
    <w:p w14:paraId="10A2C44D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Участниками конкурса могут быть коммерческие и некоммерческие организации, индивидуальные предприниматели, осуществляющие благотворительную деятельность на территории Челябинской области, а также физические лица, осуществляющие добровольческую (волонтерскую) деятельность на территории Челябинской области.</w:t>
      </w:r>
    </w:p>
    <w:p w14:paraId="4F516A08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015D8742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1) «Благотворительная деятельность коммерческих организаций и индивидуальных предпринимателей»:</w:t>
      </w:r>
    </w:p>
    <w:p w14:paraId="7C1A93FD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2) «Лучшие благотворительные проекты»;</w:t>
      </w:r>
    </w:p>
    <w:p w14:paraId="22AC46C7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3) «Лучший работодатель»;</w:t>
      </w:r>
    </w:p>
    <w:p w14:paraId="4623F4AB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4) «Почетный благотворитель» (в этой номинации заявки не подаются, участники и победители отбираются конкурсной комиссией)',</w:t>
      </w:r>
    </w:p>
    <w:p w14:paraId="6C6E1CAF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5) «Благотворительная и добровольческая (волонтерская) деятельность некоммерческих организаций»;</w:t>
      </w:r>
    </w:p>
    <w:p w14:paraId="574F5A3D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6) «Доброволец (волонтер) года».</w:t>
      </w:r>
    </w:p>
    <w:p w14:paraId="1A45A8F5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Ходатайство о выдвижении кандидата для участия в конкурсе (одновременно с заявкой на участие в конкурсе) вправе направить в Законодательное Собрание депутаты Законодательного Собрания, органы государственной власти Челябинской области, органы местного самоуправления муниципальных образований. Общественная палата Челябинской области, а также в номинации «Доброволец (волонтер) года» - добровольческие (волонтерские)организации.</w:t>
      </w:r>
    </w:p>
    <w:p w14:paraId="7D6F8DD3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Срок представления конкурсных материалов:</w:t>
      </w:r>
    </w:p>
    <w:p w14:paraId="3BA0DB27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15 марта - номинации «Благотворительная и добровольческая (волонтерская) деятельность некоммерческих организаций» и «Доброволец (волонтер) года»:</w:t>
      </w:r>
    </w:p>
    <w:p w14:paraId="2504389E" w14:textId="77777777" w:rsidR="00A74483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>1 апреля - все остальные номинации.</w:t>
      </w:r>
    </w:p>
    <w:p w14:paraId="243FE612" w14:textId="2DFCC9E2" w:rsidR="00AB1F75" w:rsidRPr="00A74483" w:rsidRDefault="00A74483" w:rsidP="00A744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83">
        <w:rPr>
          <w:rFonts w:ascii="Times New Roman" w:hAnsi="Times New Roman" w:cs="Times New Roman"/>
          <w:sz w:val="28"/>
          <w:szCs w:val="28"/>
        </w:rPr>
        <w:t xml:space="preserve">Подробнее с условиями конкурса и порядком оформления материалов при выдвижении кандидатов для участия в конкурсе вы можете познакомиться на сайге Законодательного Собрания Челябинской области: www.zs74.ru (в разделе «Премии и конкурсы»), а также обратившись в управление экономической политики и предпринимательства аппарата Законодательного Собрания Челябинской области (тел.: +7(351) 239-25-79. 239-25-80, 239-25-84. </w:t>
      </w:r>
      <w:proofErr w:type="spellStart"/>
      <w:r w:rsidRPr="00A7448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74483">
        <w:rPr>
          <w:rFonts w:ascii="Times New Roman" w:hAnsi="Times New Roman" w:cs="Times New Roman"/>
          <w:sz w:val="28"/>
          <w:szCs w:val="28"/>
        </w:rPr>
        <w:t>: mm@zs74.ru).</w:t>
      </w:r>
    </w:p>
    <w:sectPr w:rsidR="00AB1F75" w:rsidRPr="00A74483" w:rsidSect="00A744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177234"/>
    <w:rsid w:val="006C12A0"/>
    <w:rsid w:val="00A74483"/>
    <w:rsid w:val="00A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CB1F"/>
  <w15:chartTrackingRefBased/>
  <w15:docId w15:val="{06FF690A-CEB9-42A9-8F54-D335E69C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2024-01-25T09:00:00Z</dcterms:created>
  <dcterms:modified xsi:type="dcterms:W3CDTF">2024-01-25T09:02:00Z</dcterms:modified>
</cp:coreProperties>
</file>