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4791075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Кадастровая палата рекомендовала внести контактные данные в ЕГРН для упрощения оформления «лишних метров»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  <w:r>
        <w:rPr>
          <w:rFonts w:cs="Times New Roman" w:ascii="Times New Roman" w:hAnsi="Times New Roman"/>
          <w:b/>
          <w:sz w:val="26"/>
          <w:szCs w:val="26"/>
        </w:rPr>
        <w:t>Эксперты Федеральной кадастровой палаты</w:t>
      </w:r>
      <w:r>
        <w:rPr>
          <w:rFonts w:cs="Times New Roman" w:ascii="Times New Roman" w:hAnsi="Times New Roman"/>
          <w:sz w:val="26"/>
          <w:szCs w:val="26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границах примыкающих к нему участков не внесены в ЕГРН, также согласует общие границы с соседями.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i/>
          <w:sz w:val="26"/>
          <w:szCs w:val="26"/>
        </w:rPr>
        <w:t>Несмотря на то, что процедура согласования местоположения границ является неотъемлемой частью межевания, а владельцы недвижимости вносят в госреестр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>
        <w:rPr>
          <w:rFonts w:cs="Times New Roman" w:ascii="Times New Roman" w:hAnsi="Times New Roman"/>
          <w:sz w:val="26"/>
          <w:szCs w:val="26"/>
        </w:rPr>
        <w:t xml:space="preserve">», - говорит </w:t>
      </w:r>
      <w:r>
        <w:rPr>
          <w:rFonts w:cs="Times New Roman" w:ascii="Times New Roman" w:hAnsi="Times New Roman"/>
          <w:b/>
          <w:sz w:val="26"/>
          <w:szCs w:val="26"/>
        </w:rPr>
        <w:t xml:space="preserve">замглавы Федеральной Кадастровой палаты Марина Семенова. 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Предотвратить подобную ситуацию помогает внесение контактных данных правообладателей земельных участков в ЕГРН. «</w:t>
      </w:r>
      <w:r>
        <w:rPr>
          <w:rFonts w:cs="Times New Roman" w:ascii="Times New Roman" w:hAnsi="Times New Roman"/>
          <w:i/>
          <w:sz w:val="26"/>
          <w:szCs w:val="26"/>
        </w:rPr>
        <w:t>Добавить почтовый или электронный адрес в ЕГРН стоит каждому правообладателю</w:t>
      </w:r>
      <w:r>
        <w:rPr>
          <w:rFonts w:cs="Times New Roman" w:ascii="Times New Roman" w:hAnsi="Times New Roman"/>
          <w:sz w:val="26"/>
          <w:szCs w:val="26"/>
        </w:rPr>
        <w:t xml:space="preserve">», – говорит </w:t>
      </w:r>
      <w:r>
        <w:rPr>
          <w:rFonts w:cs="Times New Roman" w:ascii="Times New Roman" w:hAnsi="Times New Roman"/>
          <w:b/>
          <w:sz w:val="26"/>
          <w:szCs w:val="26"/>
        </w:rPr>
        <w:t>замглавы Кадастровой палаты Марина Семенова</w:t>
      </w:r>
      <w:r>
        <w:rPr>
          <w:rFonts w:cs="Times New Roman" w:ascii="Times New Roman" w:hAnsi="Times New Roman"/>
          <w:sz w:val="26"/>
          <w:szCs w:val="26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>
        <w:rPr>
          <w:rFonts w:cs="Times New Roman" w:ascii="Times New Roman" w:hAnsi="Times New Roman"/>
          <w:i/>
          <w:sz w:val="26"/>
          <w:szCs w:val="26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cs="Times New Roman" w:ascii="Times New Roman" w:hAnsi="Times New Roman"/>
          <w:sz w:val="26"/>
          <w:szCs w:val="26"/>
        </w:rPr>
        <w:t xml:space="preserve">», –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говорит </w:t>
      </w:r>
      <w:r>
        <w:rPr>
          <w:rFonts w:cs="Times New Roman" w:ascii="Times New Roman" w:hAnsi="Times New Roman"/>
          <w:b/>
          <w:sz w:val="26"/>
          <w:szCs w:val="26"/>
        </w:rPr>
        <w:t>Марина Семенова.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Напомним, Президент России Владимир Путин подписал закон, который позволяет </w:t>
      </w:r>
      <w:hyperlink r:id="rId3">
        <w:r>
          <w:rPr>
            <w:rStyle w:val="Style12"/>
            <w:rFonts w:cs="Times New Roman" w:ascii="Times New Roman" w:hAnsi="Times New Roman"/>
            <w:color w:val="auto"/>
            <w:sz w:val="26"/>
            <w:szCs w:val="26"/>
            <w:u w:val="none"/>
            <w:shd w:fill="auto" w:val="clear"/>
          </w:rPr>
          <w:t>урегулировать вопрос согласования общих границ земельных участков.</w:t>
        </w:r>
      </w:hyperlink>
      <w:r>
        <w:rPr>
          <w:rFonts w:cs="Times New Roman" w:ascii="Times New Roman" w:hAnsi="Times New Roman"/>
          <w:color w:val="auto"/>
          <w:sz w:val="26"/>
          <w:szCs w:val="26"/>
          <w:u w:val="none"/>
          <w:shd w:fill="auto" w:val="clear"/>
        </w:rPr>
        <w:t xml:space="preserve"> О</w:t>
      </w:r>
      <w:r>
        <w:rPr>
          <w:rFonts w:cs="Times New Roman" w:ascii="Times New Roman" w:hAnsi="Times New Roman"/>
          <w:sz w:val="26"/>
          <w:szCs w:val="26"/>
        </w:rPr>
        <w:t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>
      <w:pPr>
        <w:pStyle w:val="Normal"/>
        <w:spacing w:lineRule="auto" w:line="240" w:before="0" w:after="200"/>
        <w:ind w:hanging="0"/>
        <w:jc w:val="right"/>
        <w:rPr>
          <w:rStyle w:val="Style12"/>
          <w:rFonts w:ascii="Segoe UI" w:hAnsi="Segoe UI" w:eastAsia="Arial Unicode MS" w:cs="Segoe UI"/>
          <w:sz w:val="16"/>
          <w:szCs w:val="16"/>
          <w:lang w:val="ru-RU" w:eastAsia="hi-IN" w:bidi="hi-IN"/>
        </w:rPr>
      </w:pPr>
      <w:r>
        <w:rPr>
          <w:rFonts w:cs="Segoe UI" w:ascii="Segoe UI" w:hAnsi="Segoe UI"/>
          <w:b/>
          <w:bCs/>
        </w:rPr>
        <w:t>Пресс-служба филиала Федеральной кадастровой палаты по Челябинск</w:t>
      </w:r>
      <w:hyperlink r:id="rId4">
        <w:r>
          <w:rPr>
            <w:rFonts w:eastAsia="SimSun;宋体" w:cs="Segoe UI" w:ascii="Segoe UI" w:hAnsi="Segoe UI"/>
            <w:b/>
            <w:bCs/>
          </w:rPr>
          <w:t>ой области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7671ce"/>
    <w:rPr>
      <w:rFonts w:ascii="Tahoma" w:hAnsi="Tahoma" w:cs="Tahoma"/>
      <w:sz w:val="16"/>
      <w:szCs w:val="16"/>
    </w:rPr>
  </w:style>
  <w:style w:type="character" w:styleId="Style12">
    <w:name w:val="Интернет-ссылка"/>
    <w:basedOn w:val="DefaultParagraphFont"/>
    <w:uiPriority w:val="99"/>
    <w:unhideWhenUsed/>
    <w:rsid w:val="002d0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5f7a"/>
    <w:rPr>
      <w:color w:val="800080" w:themeColor="followedHyperlink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71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1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96a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hyperlink" Target="http://https/vk.com/fkp7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LibreOffice/4.4.4.3$Windows_x86 LibreOffice_project/2c39ebcf046445232b798108aa8a7e7d89552ea8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2019-09-16T11:20:00Z</dcterms:created>
  <dc:creator>Игошина Екатерина Викторовна</dc:creator>
  <dc:language>ru-RU</dc:language>
  <cp:lastModifiedBy>111</cp:lastModifiedBy>
  <cp:lastPrinted>2019-09-16T16:58:44Z</cp:lastPrinted>
  <dcterms:modified xsi:type="dcterms:W3CDTF">2019-09-27T14:34:30Z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