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5C" w:rsidRPr="00616E64" w:rsidRDefault="00CF035C" w:rsidP="00CF035C">
      <w:pPr>
        <w:shd w:val="clear" w:color="auto" w:fill="FFFFFF"/>
        <w:spacing w:after="240"/>
        <w:jc w:val="center"/>
        <w:rPr>
          <w:rFonts w:ascii="Times New Roman" w:hAnsi="Times New Roman" w:cs="Times New Roman"/>
          <w:color w:val="2E74B5"/>
          <w:sz w:val="44"/>
          <w:szCs w:val="44"/>
          <w:lang w:eastAsia="ru-RU"/>
        </w:rPr>
      </w:pPr>
      <w:r w:rsidRPr="00616E64">
        <w:rPr>
          <w:rFonts w:ascii="Times New Roman" w:hAnsi="Times New Roman" w:cs="Times New Roman"/>
          <w:color w:val="2E74B5"/>
          <w:sz w:val="44"/>
          <w:szCs w:val="44"/>
          <w:lang w:eastAsia="ru-RU"/>
        </w:rPr>
        <w:t xml:space="preserve">Порядок возврата платежа государственной пошлины из бюджета </w:t>
      </w:r>
    </w:p>
    <w:p w:rsidR="00CF035C" w:rsidRPr="00CD73D2" w:rsidRDefault="00CF035C" w:rsidP="00CF035C">
      <w:pPr>
        <w:pStyle w:val="ac"/>
        <w:numPr>
          <w:ilvl w:val="0"/>
          <w:numId w:val="1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CD73D2">
        <w:rPr>
          <w:rFonts w:ascii="Times New Roman" w:hAnsi="Times New Roman" w:cs="Times New Roman"/>
          <w:sz w:val="24"/>
          <w:szCs w:val="24"/>
          <w:lang w:eastAsia="ru-RU"/>
        </w:rPr>
        <w:t>Порядок возврата государственной пошлины установлен статьей 333.40 Налогового кодекса Российской Федерации (далее – Кодекс).</w:t>
      </w:r>
    </w:p>
    <w:p w:rsidR="00CF035C" w:rsidRPr="00CD73D2" w:rsidRDefault="00CF035C" w:rsidP="00CF035C">
      <w:pPr>
        <w:autoSpaceDE w:val="0"/>
        <w:autoSpaceDN w:val="0"/>
        <w:adjustRightInd w:val="0"/>
        <w:spacing w:before="240" w:after="0"/>
        <w:ind w:firstLine="5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D73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 соответствие с пунктом</w:t>
      </w:r>
      <w:r w:rsidRPr="00C335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 статьи 333.40 </w:t>
      </w:r>
      <w:r w:rsidRPr="00CD73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D73D2">
        <w:rPr>
          <w:rFonts w:ascii="Times New Roman" w:hAnsi="Times New Roman" w:cs="Times New Roman"/>
          <w:b/>
          <w:bCs/>
          <w:sz w:val="24"/>
          <w:szCs w:val="24"/>
        </w:rPr>
        <w:t xml:space="preserve">Основания и порядок возврата или зачета государственной пошлины» </w:t>
      </w:r>
      <w:r w:rsidRPr="00CD73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Кодекса </w:t>
      </w:r>
      <w:r w:rsidRPr="00C335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уплаченная государственная пошлина подлежит возврату</w:t>
      </w:r>
      <w:r w:rsidRPr="00CD73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F035C" w:rsidRPr="00CD73D2" w:rsidRDefault="00CF035C" w:rsidP="00CF035C">
      <w:pPr>
        <w:autoSpaceDE w:val="0"/>
        <w:autoSpaceDN w:val="0"/>
        <w:adjustRightInd w:val="0"/>
        <w:spacing w:before="240" w:after="0"/>
        <w:ind w:firstLine="5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D73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335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частично или полностью в случае уплаты государственной пошлины в большем размере, чем это предусмотрено главой 25.3 НК РФ,</w:t>
      </w:r>
    </w:p>
    <w:p w:rsidR="00CF035C" w:rsidRPr="00CD73D2" w:rsidRDefault="00CF035C" w:rsidP="00CF035C">
      <w:pPr>
        <w:autoSpaceDE w:val="0"/>
        <w:autoSpaceDN w:val="0"/>
        <w:adjustRightInd w:val="0"/>
        <w:spacing w:before="240" w:after="0"/>
        <w:ind w:firstLine="5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D73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335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 отказа лиц, уплативших государственную пошлину, от совершения юридически значимого действия до обращения в уполномоченный орган (к должностному лицу), совершающий (совершающему) данное юридически значимое действие</w:t>
      </w:r>
      <w:r w:rsidRPr="00CD73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End"/>
    </w:p>
    <w:p w:rsidR="00CF035C" w:rsidRPr="00CD73D2" w:rsidRDefault="00CF035C" w:rsidP="00CF035C">
      <w:pPr>
        <w:autoSpaceDE w:val="0"/>
        <w:autoSpaceDN w:val="0"/>
        <w:adjustRightInd w:val="0"/>
        <w:spacing w:before="240" w:after="0"/>
        <w:ind w:firstLine="540"/>
        <w:rPr>
          <w:rFonts w:ascii="Times New Roman" w:hAnsi="Times New Roman" w:cs="Times New Roman"/>
          <w:sz w:val="24"/>
          <w:szCs w:val="24"/>
        </w:rPr>
      </w:pPr>
      <w:r w:rsidRPr="00CD73D2">
        <w:rPr>
          <w:rFonts w:ascii="Times New Roman" w:hAnsi="Times New Roman" w:cs="Times New Roman"/>
          <w:sz w:val="24"/>
          <w:szCs w:val="24"/>
        </w:rPr>
        <w:t xml:space="preserve">- при прекращении государственной регистрации права, ограничения (обременения) права на недвижимое имущество, сделки с ним на основании соответствующих заявлений сторон договора возвращается </w:t>
      </w:r>
      <w:r w:rsidRPr="00CD73D2">
        <w:rPr>
          <w:rFonts w:ascii="Times New Roman" w:hAnsi="Times New Roman" w:cs="Times New Roman"/>
          <w:b/>
          <w:bCs/>
          <w:sz w:val="24"/>
          <w:szCs w:val="24"/>
        </w:rPr>
        <w:t>половина уплаченной государственной пошлины</w:t>
      </w:r>
      <w:r w:rsidRPr="00CD73D2">
        <w:rPr>
          <w:rFonts w:ascii="Times New Roman" w:hAnsi="Times New Roman" w:cs="Times New Roman"/>
          <w:sz w:val="24"/>
          <w:szCs w:val="24"/>
        </w:rPr>
        <w:t>.</w:t>
      </w:r>
    </w:p>
    <w:p w:rsidR="00CF035C" w:rsidRDefault="00CF035C" w:rsidP="00CF035C">
      <w:pPr>
        <w:autoSpaceDE w:val="0"/>
        <w:autoSpaceDN w:val="0"/>
        <w:adjustRightInd w:val="0"/>
        <w:spacing w:before="240" w:after="0"/>
        <w:ind w:firstLine="540"/>
        <w:rPr>
          <w:rFonts w:ascii="Times New Roman" w:hAnsi="Times New Roman" w:cs="Times New Roman"/>
          <w:sz w:val="24"/>
          <w:szCs w:val="24"/>
        </w:rPr>
      </w:pPr>
      <w:r w:rsidRPr="00CD73D2">
        <w:rPr>
          <w:rFonts w:ascii="Times New Roman" w:hAnsi="Times New Roman" w:cs="Times New Roman"/>
          <w:sz w:val="24"/>
          <w:szCs w:val="24"/>
        </w:rPr>
        <w:t>2.</w:t>
      </w:r>
      <w:r w:rsidRPr="00CD73D2">
        <w:rPr>
          <w:rFonts w:ascii="Times New Roman" w:hAnsi="Times New Roman" w:cs="Times New Roman"/>
          <w:b/>
          <w:bCs/>
          <w:sz w:val="24"/>
          <w:szCs w:val="24"/>
        </w:rPr>
        <w:t xml:space="preserve"> Не подлежит возврату государственная пошлина</w:t>
      </w:r>
      <w:r w:rsidRPr="00CD73D2">
        <w:rPr>
          <w:rFonts w:ascii="Times New Roman" w:hAnsi="Times New Roman" w:cs="Times New Roman"/>
          <w:sz w:val="24"/>
          <w:szCs w:val="24"/>
        </w:rPr>
        <w:t>, уплаченная за государственную регистрацию прав, ограничений (обременений) прав на недвижимое имущество, сделок с ним, в случае отказа в государственной регистрации.</w:t>
      </w:r>
    </w:p>
    <w:p w:rsidR="00CF035C" w:rsidRPr="00CD73D2" w:rsidRDefault="00CF035C" w:rsidP="00CF035C">
      <w:pPr>
        <w:autoSpaceDE w:val="0"/>
        <w:autoSpaceDN w:val="0"/>
        <w:adjustRightInd w:val="0"/>
        <w:spacing w:before="240"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CF035C" w:rsidRPr="00C33580" w:rsidRDefault="00CF035C" w:rsidP="00CF035C">
      <w:pPr>
        <w:shd w:val="clear" w:color="auto" w:fill="FFFFFF"/>
        <w:spacing w:after="240"/>
        <w:ind w:firstLine="5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D73D2">
        <w:rPr>
          <w:rFonts w:ascii="Times New Roman" w:hAnsi="Times New Roman" w:cs="Times New Roman"/>
          <w:sz w:val="24"/>
          <w:szCs w:val="24"/>
        </w:rPr>
        <w:t xml:space="preserve">3. </w:t>
      </w:r>
      <w:r w:rsidRPr="00C335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Основанием для возврата излишне уплаченной государственной пошлины является заявление плательщика или его представителя, действующего на основании нотариально удостоверенной доверенности (с правом возврата госпошлины</w:t>
      </w:r>
      <w:r w:rsidRPr="00CD73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или подачи заявления</w:t>
      </w:r>
      <w:r w:rsidRPr="00C335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), которое подается плательщиком государственной пошлины в орган (должностному лицу), уполномоченный совершать юридически значимые действия, за которые уплачена государственная пошлина.</w:t>
      </w:r>
    </w:p>
    <w:p w:rsidR="00CF035C" w:rsidRPr="00CD73D2" w:rsidRDefault="00CF035C" w:rsidP="00CF035C">
      <w:pPr>
        <w:shd w:val="clear" w:color="auto" w:fill="FFFFFF"/>
        <w:spacing w:after="240"/>
        <w:ind w:firstLine="5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335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Форма заявления размещена в </w:t>
      </w:r>
      <w:proofErr w:type="spellStart"/>
      <w:r w:rsidRPr="00C335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сайте</w:t>
      </w:r>
      <w:r w:rsidRPr="00D77F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Pr="00D77F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32213F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3221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2213F">
        <w:rPr>
          <w:rFonts w:ascii="Times New Roman" w:hAnsi="Times New Roman" w:cs="Times New Roman"/>
          <w:sz w:val="24"/>
          <w:szCs w:val="24"/>
          <w:lang w:val="en-US"/>
        </w:rPr>
        <w:t>rosreestr</w:t>
      </w:r>
      <w:proofErr w:type="spellEnd"/>
      <w:r w:rsidRPr="0032213F">
        <w:rPr>
          <w:rFonts w:ascii="Times New Roman" w:hAnsi="Times New Roman" w:cs="Times New Roman"/>
          <w:sz w:val="24"/>
          <w:szCs w:val="24"/>
        </w:rPr>
        <w:t>.</w:t>
      </w:r>
      <w:r w:rsidRPr="0032213F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szCs w:val="28"/>
        </w:rPr>
        <w:t>)</w:t>
      </w:r>
      <w:r w:rsidRPr="003221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Управления</w:t>
      </w:r>
      <w:r w:rsidRPr="00D77F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7" w:history="1">
        <w:r w:rsidRPr="00D77F6B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www</w:t>
        </w:r>
        <w:r w:rsidRPr="00D77F6B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Pr="00D77F6B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frs</w:t>
        </w:r>
        <w:proofErr w:type="spellEnd"/>
        <w:r w:rsidRPr="00D77F6B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74.</w:t>
        </w:r>
        <w:r w:rsidRPr="00D77F6B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ru</w:t>
        </w:r>
      </w:hyperlink>
      <w:proofErr w:type="gramStart"/>
      <w:r w:rsidRPr="00D77F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D77F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035C" w:rsidRDefault="00CF035C" w:rsidP="00CF035C">
      <w:pPr>
        <w:autoSpaceDE w:val="0"/>
        <w:autoSpaceDN w:val="0"/>
        <w:adjustRightInd w:val="0"/>
        <w:spacing w:before="240" w:after="0"/>
        <w:ind w:firstLine="540"/>
        <w:rPr>
          <w:rFonts w:ascii="Times New Roman" w:hAnsi="Times New Roman" w:cs="Times New Roman"/>
          <w:sz w:val="24"/>
          <w:szCs w:val="24"/>
        </w:rPr>
      </w:pPr>
      <w:r w:rsidRPr="00CD73D2">
        <w:rPr>
          <w:rFonts w:ascii="Times New Roman" w:hAnsi="Times New Roman" w:cs="Times New Roman"/>
          <w:sz w:val="24"/>
          <w:szCs w:val="24"/>
        </w:rPr>
        <w:t>К заявлению о возврате излишне уплаченной (взысканной) суммы государственной пошлины прилагаются подлинные платежные документы в случае, если государственная пошлина подлежит возврату в полном размере, а в случае, если она подлежит возврату частично, - копии указанных платежных документов.</w:t>
      </w:r>
    </w:p>
    <w:p w:rsidR="00CF035C" w:rsidRDefault="00CF035C" w:rsidP="00CF035C">
      <w:pPr>
        <w:tabs>
          <w:tab w:val="left" w:pos="851"/>
        </w:tabs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01AD2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предоставления платежного документа на возврат платежа, произведенного через интернет банк </w:t>
      </w:r>
      <w:proofErr w:type="spellStart"/>
      <w:r w:rsidRPr="00B01AD2">
        <w:rPr>
          <w:rFonts w:ascii="Times New Roman" w:hAnsi="Times New Roman" w:cs="Times New Roman"/>
          <w:sz w:val="24"/>
          <w:szCs w:val="24"/>
          <w:lang w:eastAsia="ru-RU"/>
        </w:rPr>
        <w:t>Сбербанк@Онлайн</w:t>
      </w:r>
      <w:proofErr w:type="spellEnd"/>
      <w:r w:rsidRPr="00B01AD2">
        <w:rPr>
          <w:rFonts w:ascii="Times New Roman" w:hAnsi="Times New Roman" w:cs="Times New Roman"/>
          <w:sz w:val="24"/>
          <w:szCs w:val="24"/>
          <w:lang w:eastAsia="ru-RU"/>
        </w:rPr>
        <w:t xml:space="preserve">,   для осуществления возврата платежа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дополнительно </w:t>
      </w:r>
      <w:r w:rsidRPr="00B01AD2">
        <w:rPr>
          <w:rFonts w:ascii="Times New Roman" w:hAnsi="Times New Roman" w:cs="Times New Roman"/>
          <w:sz w:val="24"/>
          <w:szCs w:val="24"/>
          <w:lang w:eastAsia="ru-RU"/>
        </w:rPr>
        <w:t>прилагается к заявлению  подтверждение банка с указанием подтверждения ПАО «Сбербанк России» о произведенной операции с датой и подписью уполномоченного лица,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заверенной печатью,</w:t>
      </w:r>
      <w:r w:rsidRPr="00B01AD2">
        <w:rPr>
          <w:rFonts w:ascii="Times New Roman" w:hAnsi="Times New Roman" w:cs="Times New Roman"/>
          <w:sz w:val="24"/>
          <w:szCs w:val="24"/>
          <w:lang w:eastAsia="ru-RU"/>
        </w:rPr>
        <w:t xml:space="preserve"> в связи с тем, что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чек-ордероформленный</w:t>
      </w:r>
      <w:proofErr w:type="spellEnd"/>
      <w:r w:rsidRPr="00620E39">
        <w:rPr>
          <w:rFonts w:ascii="Times New Roman" w:hAnsi="Times New Roman" w:cs="Times New Roman"/>
          <w:sz w:val="24"/>
          <w:szCs w:val="24"/>
          <w:lang w:eastAsia="ru-RU"/>
        </w:rPr>
        <w:t xml:space="preserve"> на бумажном носителе </w:t>
      </w:r>
      <w:r>
        <w:rPr>
          <w:rFonts w:ascii="Times New Roman" w:hAnsi="Times New Roman" w:cs="Times New Roman"/>
          <w:sz w:val="24"/>
          <w:szCs w:val="24"/>
          <w:lang w:eastAsia="ru-RU"/>
        </w:rPr>
        <w:t>является копией</w:t>
      </w:r>
      <w:r w:rsidRPr="00620E39">
        <w:rPr>
          <w:rFonts w:ascii="Times New Roman" w:hAnsi="Times New Roman" w:cs="Times New Roman"/>
          <w:sz w:val="24"/>
          <w:szCs w:val="24"/>
          <w:lang w:eastAsia="ru-RU"/>
        </w:rPr>
        <w:t xml:space="preserve"> оригинала электронного платежного документа по операции, проведенной посредством</w:t>
      </w:r>
      <w:proofErr w:type="gramEnd"/>
      <w:r w:rsidRPr="00620E39">
        <w:rPr>
          <w:rFonts w:ascii="Times New Roman" w:hAnsi="Times New Roman" w:cs="Times New Roman"/>
          <w:sz w:val="24"/>
          <w:szCs w:val="24"/>
          <w:lang w:eastAsia="ru-RU"/>
        </w:rPr>
        <w:t xml:space="preserve"> интернет  сервиса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Сбербанк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Онл@йн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либо такой платеж необходимо заверять в </w:t>
      </w:r>
      <w:r w:rsidRPr="00B01AD2">
        <w:rPr>
          <w:rFonts w:ascii="Times New Roman" w:hAnsi="Times New Roman" w:cs="Times New Roman"/>
          <w:sz w:val="24"/>
          <w:szCs w:val="24"/>
          <w:lang w:eastAsia="ru-RU"/>
        </w:rPr>
        <w:t>ПАО «Сбербанк России»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F035C" w:rsidRPr="00620E39" w:rsidRDefault="00CF035C" w:rsidP="00CF035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035C" w:rsidRDefault="00CF035C" w:rsidP="00CF035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Дополнительно сообщаем, что </w:t>
      </w:r>
      <w:r w:rsidRPr="00620E39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заявление о возврате платежа с приложением дополнительных документов может быть подано лично или путем почтового отправления, </w:t>
      </w:r>
      <w:r w:rsidRPr="00B01AD2">
        <w:rPr>
          <w:rFonts w:ascii="Times New Roman" w:hAnsi="Times New Roman" w:cs="Times New Roman"/>
          <w:sz w:val="24"/>
          <w:szCs w:val="24"/>
          <w:lang w:eastAsia="ru-RU"/>
        </w:rPr>
        <w:t>либо</w:t>
      </w:r>
      <w:r w:rsidRPr="00620E39">
        <w:rPr>
          <w:rFonts w:ascii="Times New Roman" w:hAnsi="Times New Roman" w:cs="Times New Roman"/>
          <w:sz w:val="24"/>
          <w:szCs w:val="24"/>
          <w:lang w:eastAsia="ru-RU"/>
        </w:rPr>
        <w:t xml:space="preserve"> в электронном виде, но с усиленной квалифицированной электронной подписью заявителя в адрес Управления (</w:t>
      </w:r>
      <w:r w:rsidRPr="00620E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454048 г. Челябинск, ул. </w:t>
      </w:r>
      <w:proofErr w:type="spellStart"/>
      <w:r w:rsidRPr="00620E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Елькина</w:t>
      </w:r>
      <w:proofErr w:type="spellEnd"/>
      <w:r w:rsidRPr="00620E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д.85,  сайт:</w:t>
      </w:r>
      <w:r w:rsidRPr="00620E39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to</w:t>
      </w:r>
      <w:r w:rsidRPr="00620E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74.</w:t>
      </w:r>
      <w:proofErr w:type="spellStart"/>
      <w:r w:rsidRPr="00620E39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rosreestr</w:t>
      </w:r>
      <w:proofErr w:type="spellEnd"/>
      <w:r w:rsidRPr="00620E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20E39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r w:rsidRPr="00620E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B01AD2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B01AD2">
        <w:rPr>
          <w:rFonts w:ascii="Times New Roman" w:hAnsi="Times New Roman" w:cs="Times New Roman"/>
          <w:sz w:val="24"/>
          <w:szCs w:val="24"/>
          <w:lang w:eastAsia="ru-RU"/>
        </w:rPr>
        <w:t>территориальный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отдел Управления (Приложение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), в  МФЦ.</w:t>
      </w:r>
    </w:p>
    <w:p w:rsidR="00CF035C" w:rsidRPr="00093642" w:rsidRDefault="00CF035C" w:rsidP="00CF035C">
      <w:pPr>
        <w:autoSpaceDE w:val="0"/>
        <w:autoSpaceDN w:val="0"/>
        <w:adjustRightInd w:val="0"/>
        <w:spacing w:before="240"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93642">
        <w:rPr>
          <w:rFonts w:ascii="Times New Roman" w:hAnsi="Times New Roman" w:cs="Times New Roman"/>
          <w:sz w:val="24"/>
          <w:szCs w:val="24"/>
        </w:rPr>
        <w:lastRenderedPageBreak/>
        <w:t>Заявление о возврате излишне уплаченной (взысканной) суммы государственной пошлины может быть подано в течение трех лет со дня уплаты указанной суммы.</w:t>
      </w:r>
    </w:p>
    <w:p w:rsidR="00CF035C" w:rsidRDefault="00CF035C" w:rsidP="00CF035C">
      <w:pPr>
        <w:autoSpaceDE w:val="0"/>
        <w:autoSpaceDN w:val="0"/>
        <w:adjustRightInd w:val="0"/>
        <w:spacing w:before="240"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93642">
        <w:rPr>
          <w:rFonts w:ascii="Times New Roman" w:hAnsi="Times New Roman" w:cs="Times New Roman"/>
          <w:sz w:val="24"/>
          <w:szCs w:val="24"/>
        </w:rPr>
        <w:t>Возврат излишне уплаченной (взысканной) суммы государственной пошлины производится в течение одного месяца со дня подачи указанного заявления о возврате.</w:t>
      </w:r>
    </w:p>
    <w:p w:rsidR="00CF035C" w:rsidRPr="00D77F6B" w:rsidRDefault="00CF035C" w:rsidP="00CF035C">
      <w:pPr>
        <w:autoSpaceDE w:val="0"/>
        <w:autoSpaceDN w:val="0"/>
        <w:adjustRightInd w:val="0"/>
        <w:spacing w:before="240"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CF035C" w:rsidRPr="00093642" w:rsidRDefault="00CF035C" w:rsidP="00CF035C">
      <w:pPr>
        <w:autoSpaceDE w:val="0"/>
        <w:autoSpaceDN w:val="0"/>
        <w:adjustRightInd w:val="0"/>
        <w:spacing w:before="240"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93642">
        <w:rPr>
          <w:rFonts w:ascii="Times New Roman" w:hAnsi="Times New Roman" w:cs="Times New Roman"/>
          <w:sz w:val="24"/>
          <w:szCs w:val="24"/>
        </w:rPr>
        <w:t>Решение о возврате плательщику излишне уплаченной (взысканной) суммы государственной пошлины принимает орган (должностное лицо), осуществляющий действия, за которые уплачена (взыскана) государственная пошлина.</w:t>
      </w:r>
    </w:p>
    <w:p w:rsidR="00CF035C" w:rsidRPr="00093642" w:rsidRDefault="00CF035C" w:rsidP="00CF035C">
      <w:pPr>
        <w:autoSpaceDE w:val="0"/>
        <w:autoSpaceDN w:val="0"/>
        <w:adjustRightInd w:val="0"/>
        <w:spacing w:before="240"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93642">
        <w:rPr>
          <w:rFonts w:ascii="Times New Roman" w:hAnsi="Times New Roman" w:cs="Times New Roman"/>
          <w:sz w:val="24"/>
          <w:szCs w:val="24"/>
        </w:rPr>
        <w:t>Возврат излишне уплаченной (взысканной) суммы государственной пошлины осуществляется органом Федерального казначейства.</w:t>
      </w:r>
    </w:p>
    <w:p w:rsidR="00CF035C" w:rsidRPr="00093642" w:rsidRDefault="00CF035C" w:rsidP="00CF035C">
      <w:pPr>
        <w:autoSpaceDE w:val="0"/>
        <w:autoSpaceDN w:val="0"/>
        <w:adjustRightInd w:val="0"/>
        <w:spacing w:before="240"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93642">
        <w:rPr>
          <w:rFonts w:ascii="Times New Roman" w:hAnsi="Times New Roman" w:cs="Times New Roman"/>
          <w:sz w:val="24"/>
          <w:szCs w:val="24"/>
        </w:rPr>
        <w:t>4. Плательщик государственной пошлины имеет право на зачет излишне уплаченной (взысканной) суммы государственной пошлины в счет суммы государственной пошлины, подлежащей уплате за совершение аналогичного действия.</w:t>
      </w:r>
    </w:p>
    <w:p w:rsidR="00CF035C" w:rsidRDefault="00CF035C" w:rsidP="00CF035C">
      <w:pPr>
        <w:autoSpaceDE w:val="0"/>
        <w:autoSpaceDN w:val="0"/>
        <w:adjustRightInd w:val="0"/>
        <w:spacing w:before="240"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93642">
        <w:rPr>
          <w:rFonts w:ascii="Times New Roman" w:hAnsi="Times New Roman" w:cs="Times New Roman"/>
          <w:sz w:val="24"/>
          <w:szCs w:val="24"/>
        </w:rPr>
        <w:t>Указанный зачет производится по заявлению плательщика, предъявленному в уполномоченный орган (должностному лицу), в который (к которому) он обращался за совершением юридически значимого действия. Заявление о зачете суммы излишне уплаченной (взысканной) государственной пошлины может быть подано в течение трех лет. К заявлению о зачете суммы излишне уплаченной (взысканной) государственной пошлины прилагаются: платежные поручения или квитанции с подлинной отметкой банка, подтверждающие уплату государственной пошлины.</w:t>
      </w:r>
    </w:p>
    <w:p w:rsidR="00CF035C" w:rsidRDefault="00CF035C" w:rsidP="00CF035C">
      <w:pPr>
        <w:autoSpaceDE w:val="0"/>
        <w:autoSpaceDN w:val="0"/>
        <w:adjustRightInd w:val="0"/>
        <w:spacing w:before="240"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CF035C" w:rsidRDefault="00CF035C" w:rsidP="00CF035C">
      <w:pPr>
        <w:autoSpaceDE w:val="0"/>
        <w:autoSpaceDN w:val="0"/>
        <w:adjustRightInd w:val="0"/>
        <w:spacing w:before="240"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CF035C" w:rsidRDefault="00CF035C" w:rsidP="00CF035C">
      <w:pPr>
        <w:autoSpaceDE w:val="0"/>
        <w:autoSpaceDN w:val="0"/>
        <w:adjustRightInd w:val="0"/>
        <w:spacing w:before="240"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CF035C" w:rsidRDefault="00CF035C" w:rsidP="00CF035C">
      <w:pPr>
        <w:autoSpaceDE w:val="0"/>
        <w:autoSpaceDN w:val="0"/>
        <w:adjustRightInd w:val="0"/>
        <w:spacing w:before="240"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CF035C" w:rsidRDefault="00CF035C" w:rsidP="00CF035C">
      <w:pPr>
        <w:autoSpaceDE w:val="0"/>
        <w:autoSpaceDN w:val="0"/>
        <w:adjustRightInd w:val="0"/>
        <w:spacing w:before="240"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CF035C" w:rsidRDefault="00CF035C" w:rsidP="00CF035C">
      <w:pPr>
        <w:autoSpaceDE w:val="0"/>
        <w:autoSpaceDN w:val="0"/>
        <w:adjustRightInd w:val="0"/>
        <w:spacing w:before="240"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CF035C" w:rsidRDefault="00CF035C" w:rsidP="00CF035C">
      <w:pPr>
        <w:autoSpaceDE w:val="0"/>
        <w:autoSpaceDN w:val="0"/>
        <w:adjustRightInd w:val="0"/>
        <w:spacing w:before="240"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CF035C" w:rsidRDefault="00CF035C" w:rsidP="00CF035C">
      <w:pPr>
        <w:autoSpaceDE w:val="0"/>
        <w:autoSpaceDN w:val="0"/>
        <w:adjustRightInd w:val="0"/>
        <w:spacing w:before="240"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CF035C" w:rsidRDefault="00CF035C" w:rsidP="00CF035C">
      <w:pPr>
        <w:autoSpaceDE w:val="0"/>
        <w:autoSpaceDN w:val="0"/>
        <w:adjustRightInd w:val="0"/>
        <w:spacing w:before="240"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CF035C" w:rsidRDefault="00CF035C" w:rsidP="00CF035C">
      <w:pPr>
        <w:autoSpaceDE w:val="0"/>
        <w:autoSpaceDN w:val="0"/>
        <w:adjustRightInd w:val="0"/>
        <w:spacing w:before="240"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FD0089" w:rsidRDefault="000E480F" w:rsidP="000E480F">
      <w:pPr>
        <w:tabs>
          <w:tab w:val="left" w:pos="2880"/>
        </w:tabs>
        <w:rPr>
          <w:szCs w:val="28"/>
        </w:rPr>
      </w:pPr>
      <w:r>
        <w:rPr>
          <w:szCs w:val="28"/>
        </w:rPr>
        <w:tab/>
      </w:r>
    </w:p>
    <w:p w:rsidR="000E480F" w:rsidRPr="00AC050D" w:rsidRDefault="000E480F" w:rsidP="000E480F">
      <w:pPr>
        <w:tabs>
          <w:tab w:val="left" w:pos="2880"/>
        </w:tabs>
        <w:rPr>
          <w:szCs w:val="28"/>
        </w:rPr>
      </w:pPr>
    </w:p>
    <w:sectPr w:rsidR="000E480F" w:rsidRPr="00AC050D" w:rsidSect="00CF035C">
      <w:pgSz w:w="11906" w:h="16838"/>
      <w:pgMar w:top="426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590" w:rsidRDefault="00AB7590" w:rsidP="00E91C4F">
      <w:pPr>
        <w:spacing w:after="0"/>
      </w:pPr>
      <w:r>
        <w:separator/>
      </w:r>
    </w:p>
  </w:endnote>
  <w:endnote w:type="continuationSeparator" w:id="1">
    <w:p w:rsidR="00AB7590" w:rsidRDefault="00AB7590" w:rsidP="00E91C4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590" w:rsidRDefault="00AB7590" w:rsidP="00E91C4F">
      <w:pPr>
        <w:spacing w:after="0"/>
      </w:pPr>
      <w:r>
        <w:separator/>
      </w:r>
    </w:p>
  </w:footnote>
  <w:footnote w:type="continuationSeparator" w:id="1">
    <w:p w:rsidR="00AB7590" w:rsidRDefault="00AB7590" w:rsidP="00E91C4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929F8"/>
    <w:multiLevelType w:val="hybridMultilevel"/>
    <w:tmpl w:val="181067AE"/>
    <w:lvl w:ilvl="0" w:tplc="D3ACF16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7B6"/>
    <w:rsid w:val="000C2090"/>
    <w:rsid w:val="000E480F"/>
    <w:rsid w:val="001458C7"/>
    <w:rsid w:val="0019374A"/>
    <w:rsid w:val="001B1478"/>
    <w:rsid w:val="00225389"/>
    <w:rsid w:val="00267147"/>
    <w:rsid w:val="003747B6"/>
    <w:rsid w:val="003C2FCC"/>
    <w:rsid w:val="003C5D95"/>
    <w:rsid w:val="00426C6C"/>
    <w:rsid w:val="005E0DF0"/>
    <w:rsid w:val="00792A8D"/>
    <w:rsid w:val="008B3E67"/>
    <w:rsid w:val="009B0AA0"/>
    <w:rsid w:val="00A104B9"/>
    <w:rsid w:val="00AB7590"/>
    <w:rsid w:val="00AC050D"/>
    <w:rsid w:val="00B57440"/>
    <w:rsid w:val="00BA6EF5"/>
    <w:rsid w:val="00CF035C"/>
    <w:rsid w:val="00D15DEA"/>
    <w:rsid w:val="00D801CD"/>
    <w:rsid w:val="00DD49B9"/>
    <w:rsid w:val="00E0705F"/>
    <w:rsid w:val="00E91C4F"/>
    <w:rsid w:val="00F07CD3"/>
    <w:rsid w:val="00FD0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B6"/>
    <w:pPr>
      <w:spacing w:after="120" w:line="240" w:lineRule="auto"/>
      <w:ind w:firstLine="709"/>
      <w:jc w:val="both"/>
    </w:pPr>
    <w:rPr>
      <w:rFonts w:ascii="Arial" w:hAnsi="Arial"/>
      <w:sz w:val="28"/>
    </w:rPr>
  </w:style>
  <w:style w:type="paragraph" w:styleId="1">
    <w:name w:val="heading 1"/>
    <w:basedOn w:val="a"/>
    <w:link w:val="10"/>
    <w:uiPriority w:val="9"/>
    <w:qFormat/>
    <w:rsid w:val="003C5D95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7B6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E91C4F"/>
    <w:pPr>
      <w:spacing w:after="0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91C4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91C4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C5D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html">
    <w:name w:val="print_html"/>
    <w:basedOn w:val="a0"/>
    <w:rsid w:val="003C5D95"/>
  </w:style>
  <w:style w:type="character" w:styleId="a7">
    <w:name w:val="Hyperlink"/>
    <w:basedOn w:val="a0"/>
    <w:uiPriority w:val="99"/>
    <w:semiHidden/>
    <w:unhideWhenUsed/>
    <w:rsid w:val="003C5D9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5D95"/>
    <w:pPr>
      <w:pBdr>
        <w:bottom w:val="single" w:sz="6" w:space="1" w:color="auto"/>
      </w:pBdr>
      <w:spacing w:after="0"/>
      <w:ind w:firstLine="0"/>
      <w:jc w:val="center"/>
    </w:pPr>
    <w:rPr>
      <w:rFonts w:eastAsia="Times New Roman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5D9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C5D9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C5D95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5D95"/>
    <w:pPr>
      <w:pBdr>
        <w:top w:val="single" w:sz="6" w:space="1" w:color="auto"/>
      </w:pBdr>
      <w:spacing w:after="0"/>
      <w:ind w:firstLine="0"/>
      <w:jc w:val="center"/>
    </w:pPr>
    <w:rPr>
      <w:rFonts w:eastAsia="Times New Roman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C5D9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5D95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D9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CF035C"/>
    <w:pPr>
      <w:spacing w:after="160" w:line="259" w:lineRule="auto"/>
      <w:ind w:left="720" w:firstLine="0"/>
      <w:jc w:val="left"/>
    </w:pPr>
    <w:rPr>
      <w:rFonts w:ascii="Calibri" w:eastAsia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B6"/>
    <w:pPr>
      <w:spacing w:after="120" w:line="240" w:lineRule="auto"/>
      <w:ind w:firstLine="709"/>
      <w:jc w:val="both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7B6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E91C4F"/>
    <w:pPr>
      <w:spacing w:after="0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91C4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91C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4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73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6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94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s7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sherina</cp:lastModifiedBy>
  <cp:revision>2</cp:revision>
  <cp:lastPrinted>2017-08-08T06:09:00Z</cp:lastPrinted>
  <dcterms:created xsi:type="dcterms:W3CDTF">2017-10-02T09:28:00Z</dcterms:created>
  <dcterms:modified xsi:type="dcterms:W3CDTF">2017-10-02T09:28:00Z</dcterms:modified>
</cp:coreProperties>
</file>